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DBA1" w14:textId="77777777" w:rsidR="00B34522" w:rsidRDefault="00B34522" w:rsidP="00B34522">
      <w:pPr>
        <w:spacing w:before="120" w:after="0"/>
        <w:jc w:val="center"/>
        <w:rPr>
          <w:rFonts w:ascii="Manrope" w:eastAsia="Manrope" w:hAnsi="Manrope" w:cs="Manrope"/>
          <w:kern w:val="0"/>
          <w:sz w:val="36"/>
          <w:szCs w:val="36"/>
          <w:lang w:val="ru" w:eastAsia="ru-RU"/>
          <w14:ligatures w14:val="none"/>
        </w:rPr>
      </w:pPr>
    </w:p>
    <w:p w14:paraId="52620B1F" w14:textId="77777777" w:rsidR="00B34522" w:rsidRDefault="00B34522" w:rsidP="00B34522">
      <w:pPr>
        <w:spacing w:before="120" w:after="0"/>
        <w:jc w:val="center"/>
        <w:rPr>
          <w:rFonts w:ascii="Manrope" w:eastAsia="Manrope" w:hAnsi="Manrope" w:cs="Manrope"/>
          <w:kern w:val="0"/>
          <w:sz w:val="36"/>
          <w:szCs w:val="36"/>
          <w:lang w:val="ru" w:eastAsia="ru-RU"/>
          <w14:ligatures w14:val="none"/>
        </w:rPr>
      </w:pPr>
    </w:p>
    <w:p w14:paraId="2D329054" w14:textId="4E529D1C" w:rsidR="00B34522" w:rsidRPr="00B34522" w:rsidRDefault="00B34522" w:rsidP="00B34522">
      <w:pPr>
        <w:spacing w:before="120" w:after="0"/>
        <w:jc w:val="center"/>
        <w:rPr>
          <w:rFonts w:ascii="Manrope" w:eastAsia="Manrope" w:hAnsi="Manrope" w:cs="Manrope"/>
          <w:kern w:val="0"/>
          <w:sz w:val="36"/>
          <w:szCs w:val="36"/>
          <w:lang w:val="en-US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36"/>
          <w:szCs w:val="36"/>
          <w:lang w:val="en-US" w:eastAsia="ru-RU"/>
          <w14:ligatures w14:val="none"/>
        </w:rPr>
        <w:t xml:space="preserve">REGULAMENTUL DESFĂȘURĂRII ACTIVITĂȚII PROMOȚIONALE A BRANDULUI “LETTO” ÎN CADRUL EVENIMENTULUI „Vara </w:t>
      </w:r>
      <w:proofErr w:type="spellStart"/>
      <w:r w:rsidRPr="00B34522">
        <w:rPr>
          <w:rFonts w:ascii="Manrope" w:eastAsia="Manrope" w:hAnsi="Manrope" w:cs="Manrope"/>
          <w:kern w:val="0"/>
          <w:sz w:val="36"/>
          <w:szCs w:val="36"/>
          <w:lang w:val="en-US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36"/>
          <w:szCs w:val="36"/>
          <w:lang w:val="en-US" w:eastAsia="ru-RU"/>
          <w14:ligatures w14:val="none"/>
        </w:rPr>
        <w:t xml:space="preserve"> Weekend”</w:t>
      </w:r>
    </w:p>
    <w:p w14:paraId="4F732807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3F130232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7FE80490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4AE1B7A1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FE07EB1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C414743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7DEA4DD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3280C6F3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3ED160A6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17DDECA9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450F25AD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3D65BAA2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FEB3E19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4E287E25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E87327E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153515FB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78A6791A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5CC9732F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47EF0F30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12A2342B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792A5441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1B3F58C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5E712802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703AB0D0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49B8EA17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5AF42669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35C8F3DA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1BA39390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316909B2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5FDC9AD1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11E8E995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76669FB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369C61AC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37536CB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52EFE148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A89F2A9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4674485C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4A481C90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7D08938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51CD38F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27F2F1A4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A0C2089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1D0CC62E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540B4DAC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7ECA3218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5760BE3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DA87E2B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92D0BBE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29A21160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3881FA4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3718914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A464177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5590CF74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7D46E464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AD62165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3697A10B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3131C7B" w14:textId="77777777" w:rsidR="00B34522" w:rsidRPr="00B34522" w:rsidRDefault="00B34522" w:rsidP="00B34522">
      <w:pPr>
        <w:spacing w:after="0"/>
        <w:ind w:firstLine="709"/>
        <w:rPr>
          <w:sz w:val="22"/>
          <w:szCs w:val="18"/>
          <w:lang w:val="en-US"/>
        </w:rPr>
      </w:pPr>
    </w:p>
    <w:p w14:paraId="76CDE4D6" w14:textId="6E75115E" w:rsidR="00B34522" w:rsidRPr="00B34522" w:rsidRDefault="00B34522" w:rsidP="00B34522">
      <w:p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SECȚIUNEA 1. ORGANIZATORUL ȘI PARTENERUL EVENIMENTULUI</w:t>
      </w:r>
    </w:p>
    <w:p w14:paraId="53D0E3FF" w14:textId="77777777" w:rsidR="00B34522" w:rsidRPr="00B34522" w:rsidRDefault="00B34522" w:rsidP="00B34522">
      <w:pPr>
        <w:pStyle w:val="a7"/>
        <w:numPr>
          <w:ilvl w:val="0"/>
          <w:numId w:val="7"/>
        </w:num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Organizatorul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evenimentului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Weekend”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este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compania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denumirea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juridică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Club SRL,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denumită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continuare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„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Organizator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”, cu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sediul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pe str. </w:t>
      </w: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G. Vieru nr. 22/8, ap. 10, mun. Chișinău, Republica Moldova.</w:t>
      </w:r>
    </w:p>
    <w:p w14:paraId="0FC78A07" w14:textId="77777777" w:rsidR="00B34522" w:rsidRPr="00B34522" w:rsidRDefault="00B34522" w:rsidP="00B34522">
      <w:pPr>
        <w:pStyle w:val="a7"/>
        <w:numPr>
          <w:ilvl w:val="0"/>
          <w:numId w:val="7"/>
        </w:num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festivalului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este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compania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ÎM „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Aquatrade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” S.R.L.,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denumită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continuare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„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”, cu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sediul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pe str.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Aerodromului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14/A,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mun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.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Bălți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, Republica Moldova.</w:t>
      </w:r>
    </w:p>
    <w:p w14:paraId="7506E098" w14:textId="77777777" w:rsidR="00B34522" w:rsidRPr="00B34522" w:rsidRDefault="00B34522" w:rsidP="00B34522">
      <w:pPr>
        <w:pStyle w:val="a7"/>
        <w:numPr>
          <w:ilvl w:val="0"/>
          <w:numId w:val="7"/>
        </w:num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Modul de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desfășurare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activității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promoționale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cadrul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festivalului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Weekend”,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prezentat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acest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Regulament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Oficial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este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final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obligatoriu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pentru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toți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participanții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23E30DF3" w14:textId="77777777" w:rsidR="00B34522" w:rsidRPr="00B34522" w:rsidRDefault="00B34522" w:rsidP="00B34522">
      <w:pPr>
        <w:pStyle w:val="a7"/>
        <w:numPr>
          <w:ilvl w:val="0"/>
          <w:numId w:val="7"/>
        </w:num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Regulamentul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Oficial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este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întocmit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conformitate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cu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legislația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vigoare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Republicii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Moldova.</w:t>
      </w:r>
    </w:p>
    <w:p w14:paraId="589AD7F3" w14:textId="044DED1E" w:rsidR="00B34522" w:rsidRPr="00B34522" w:rsidRDefault="00B34522" w:rsidP="00B34522">
      <w:pPr>
        <w:spacing w:before="120" w:after="0"/>
        <w:rPr>
          <w:sz w:val="22"/>
          <w:szCs w:val="18"/>
        </w:rPr>
      </w:pPr>
    </w:p>
    <w:p w14:paraId="475B79B7" w14:textId="77777777" w:rsidR="00B34522" w:rsidRPr="00B34522" w:rsidRDefault="00B34522" w:rsidP="00B34522">
      <w:p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SECȚIUNEA 2. DESCRIERE GENERALĂ A ACTIVITĂȚII PROMOȚIONALE ÎN CADRUL EVENIMENTULUI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Weekend”</w:t>
      </w:r>
    </w:p>
    <w:p w14:paraId="1B5945AA" w14:textId="77777777" w:rsidR="00B34522" w:rsidRPr="00B34522" w:rsidRDefault="00B34522" w:rsidP="00B34522">
      <w:pPr>
        <w:pStyle w:val="a7"/>
        <w:numPr>
          <w:ilvl w:val="0"/>
          <w:numId w:val="8"/>
        </w:num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Festivalul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Weekend” are loc pe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teritoriul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aquacity-ului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municipiul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Chișinău, Republica Moldova,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perioada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12–13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iulie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2025,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între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orele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10:00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17:00.</w:t>
      </w:r>
    </w:p>
    <w:p w14:paraId="4AD2389D" w14:textId="77777777" w:rsidR="00B34522" w:rsidRPr="00B34522" w:rsidRDefault="00B34522" w:rsidP="00B34522">
      <w:pPr>
        <w:pStyle w:val="a7"/>
        <w:numPr>
          <w:ilvl w:val="0"/>
          <w:numId w:val="8"/>
        </w:num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cadrul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Festivalului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Weekend”,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avea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loc o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activitate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promoțională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organizată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, care include:</w:t>
      </w:r>
    </w:p>
    <w:p w14:paraId="55AE3307" w14:textId="77777777" w:rsidR="00B34522" w:rsidRPr="00B34522" w:rsidRDefault="00B34522" w:rsidP="00B34522">
      <w:pPr>
        <w:numPr>
          <w:ilvl w:val="0"/>
          <w:numId w:val="1"/>
        </w:numPr>
        <w:tabs>
          <w:tab w:val="clear" w:pos="720"/>
        </w:tabs>
        <w:spacing w:before="120" w:after="0"/>
        <w:ind w:left="216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Degustarea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noilor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arome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Letto Orange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Letto Watermelon</w:t>
      </w:r>
    </w:p>
    <w:p w14:paraId="18FCB030" w14:textId="11A3D850" w:rsidR="00B34522" w:rsidRPr="00B34522" w:rsidRDefault="00B34522" w:rsidP="00B34522">
      <w:pPr>
        <w:numPr>
          <w:ilvl w:val="0"/>
          <w:numId w:val="1"/>
        </w:numPr>
        <w:tabs>
          <w:tab w:val="clear" w:pos="720"/>
        </w:tabs>
        <w:spacing w:before="120" w:after="0"/>
        <w:ind w:left="216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Tombolă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cu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premii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: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trotinetă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electrică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boxe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SVEN PS-290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căști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JBL TUNE 510BT</w:t>
      </w:r>
    </w:p>
    <w:p w14:paraId="30FFD3B7" w14:textId="77777777" w:rsidR="00B34522" w:rsidRPr="00B34522" w:rsidRDefault="00B34522" w:rsidP="00B34522">
      <w:pPr>
        <w:numPr>
          <w:ilvl w:val="0"/>
          <w:numId w:val="1"/>
        </w:numPr>
        <w:tabs>
          <w:tab w:val="clear" w:pos="720"/>
        </w:tabs>
        <w:spacing w:before="120" w:after="0"/>
        <w:ind w:left="216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Instalarea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unei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zone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foto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cu selfie box</w:t>
      </w:r>
    </w:p>
    <w:p w14:paraId="6169E8BF" w14:textId="77777777" w:rsidR="00B34522" w:rsidRPr="00B34522" w:rsidRDefault="00B34522" w:rsidP="00B34522">
      <w:pPr>
        <w:numPr>
          <w:ilvl w:val="0"/>
          <w:numId w:val="1"/>
        </w:numPr>
        <w:tabs>
          <w:tab w:val="clear" w:pos="720"/>
        </w:tabs>
        <w:spacing w:before="120" w:after="0"/>
        <w:ind w:left="216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Amenajarea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unei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Chill Zone (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zonă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relaxare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)</w:t>
      </w:r>
    </w:p>
    <w:p w14:paraId="3712DC5A" w14:textId="1FDF437A" w:rsidR="00B34522" w:rsidRPr="00B34522" w:rsidRDefault="00B34522" w:rsidP="00B34522">
      <w:pPr>
        <w:spacing w:after="0"/>
        <w:ind w:firstLine="709"/>
        <w:rPr>
          <w:sz w:val="22"/>
          <w:szCs w:val="18"/>
        </w:rPr>
      </w:pPr>
    </w:p>
    <w:p w14:paraId="699C30ED" w14:textId="77777777" w:rsidR="00B34522" w:rsidRPr="00B34522" w:rsidRDefault="00B34522" w:rsidP="00B34522">
      <w:p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SECȚIUNEA 3. DREPTUL DE PARTICIPARE LA ACTIVITATEA PROMOȚIONALĂ ÎN CADRUL FESTIVALULUI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Weekend”</w:t>
      </w:r>
    </w:p>
    <w:p w14:paraId="280DD1D6" w14:textId="77777777" w:rsidR="00B34522" w:rsidRPr="00B34522" w:rsidRDefault="00B34522" w:rsidP="00B34522">
      <w:pPr>
        <w:pStyle w:val="a7"/>
        <w:numPr>
          <w:ilvl w:val="0"/>
          <w:numId w:val="9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La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activitatea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promoțională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pot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toate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persoanele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fizice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participanți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festivalul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Weekend”, care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dețin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un element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oficial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confirmare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participării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conform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regulamentului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Organizatorului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3537BB23" w14:textId="77777777" w:rsidR="00B34522" w:rsidRPr="00B34522" w:rsidRDefault="00B34522" w:rsidP="00B34522">
      <w:pPr>
        <w:pStyle w:val="a7"/>
        <w:numPr>
          <w:ilvl w:val="0"/>
          <w:numId w:val="9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Prin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Festival,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participanții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își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exprimă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acordul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respecta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toate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prevederile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termenele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condițiile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prezentului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Regulament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Oficial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pe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întreaga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durată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Evenimentului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3612F0A0" w14:textId="4B464613" w:rsidR="00B34522" w:rsidRPr="00B34522" w:rsidRDefault="00B34522" w:rsidP="00B34522">
      <w:pPr>
        <w:spacing w:before="120" w:after="0"/>
        <w:ind w:left="708" w:hanging="708"/>
        <w:jc w:val="both"/>
        <w:rPr>
          <w:sz w:val="22"/>
          <w:szCs w:val="18"/>
        </w:rPr>
      </w:pPr>
    </w:p>
    <w:p w14:paraId="0FA60BD6" w14:textId="77777777" w:rsidR="00B34522" w:rsidRPr="00B34522" w:rsidRDefault="00B34522" w:rsidP="00B34522">
      <w:pPr>
        <w:spacing w:before="120"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SECȚIUNEA 4. SCOPURILE ACTIVITĂȚII PROMOȚIONALE ÎN CADRUL EVENIMENTULUI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Weekend”</w:t>
      </w:r>
    </w:p>
    <w:p w14:paraId="7020BED2" w14:textId="77777777" w:rsidR="00B34522" w:rsidRPr="00B34522" w:rsidRDefault="00B34522" w:rsidP="00B34522">
      <w:pPr>
        <w:numPr>
          <w:ilvl w:val="0"/>
          <w:numId w:val="2"/>
        </w:numPr>
        <w:tabs>
          <w:tab w:val="clear" w:pos="720"/>
        </w:tabs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lastRenderedPageBreak/>
        <w:t>Dezvoltarea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popularizarea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brandului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Letto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Republica Moldova;</w:t>
      </w:r>
    </w:p>
    <w:p w14:paraId="33457354" w14:textId="77777777" w:rsidR="00B34522" w:rsidRPr="00B34522" w:rsidRDefault="00B34522" w:rsidP="00B34522">
      <w:pPr>
        <w:numPr>
          <w:ilvl w:val="0"/>
          <w:numId w:val="2"/>
        </w:numPr>
        <w:tabs>
          <w:tab w:val="clear" w:pos="720"/>
        </w:tabs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Creșterea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prezenței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brandului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Letto la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evenimentele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masă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;</w:t>
      </w:r>
    </w:p>
    <w:p w14:paraId="0A662CDE" w14:textId="77777777" w:rsidR="00B34522" w:rsidRPr="00B34522" w:rsidRDefault="00B34522" w:rsidP="00B34522">
      <w:pPr>
        <w:numPr>
          <w:ilvl w:val="0"/>
          <w:numId w:val="2"/>
        </w:numPr>
        <w:tabs>
          <w:tab w:val="clear" w:pos="720"/>
        </w:tabs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Creșterea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vânzărilor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produselor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Letto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;</w:t>
      </w:r>
    </w:p>
    <w:p w14:paraId="0CD401D7" w14:textId="77777777" w:rsidR="00B34522" w:rsidRPr="00B34522" w:rsidRDefault="00B34522" w:rsidP="00B34522">
      <w:pPr>
        <w:numPr>
          <w:ilvl w:val="0"/>
          <w:numId w:val="2"/>
        </w:numPr>
        <w:tabs>
          <w:tab w:val="clear" w:pos="720"/>
        </w:tabs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Creșterea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gradului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conștientizare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noilor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băuturi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Letto;</w:t>
      </w:r>
    </w:p>
    <w:p w14:paraId="3C5749A1" w14:textId="77777777" w:rsidR="00B34522" w:rsidRPr="00B34522" w:rsidRDefault="00B34522" w:rsidP="00B34522">
      <w:pPr>
        <w:numPr>
          <w:ilvl w:val="0"/>
          <w:numId w:val="2"/>
        </w:numPr>
        <w:tabs>
          <w:tab w:val="clear" w:pos="720"/>
        </w:tabs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Promovarea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băuturilor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Letto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filozofiei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brandului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7BB08BFD" w14:textId="7FC35950" w:rsidR="00B34522" w:rsidRPr="00B34522" w:rsidRDefault="00B34522" w:rsidP="00B34522">
      <w:pPr>
        <w:spacing w:before="120" w:after="0"/>
        <w:ind w:left="720"/>
        <w:jc w:val="both"/>
        <w:rPr>
          <w:sz w:val="22"/>
          <w:szCs w:val="18"/>
        </w:rPr>
      </w:pPr>
    </w:p>
    <w:p w14:paraId="3EF75555" w14:textId="77777777" w:rsidR="00B34522" w:rsidRPr="00B34522" w:rsidRDefault="00B34522" w:rsidP="00B34522">
      <w:pPr>
        <w:spacing w:after="0"/>
        <w:ind w:firstLine="709"/>
        <w:rPr>
          <w:b/>
          <w:bCs/>
          <w:sz w:val="22"/>
          <w:szCs w:val="18"/>
          <w:lang w:val="en-US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SECȚIUNEA 6. DESFĂȘURAREA ACTIVITĂȚII PROMOȚIONALE ÎN CADRUL EVENIMENTULUI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Weekend”</w:t>
      </w:r>
    </w:p>
    <w:p w14:paraId="3191716D" w14:textId="77777777" w:rsidR="00B34522" w:rsidRPr="008B3F64" w:rsidRDefault="00B34522" w:rsidP="008B3F64">
      <w:pPr>
        <w:pStyle w:val="a7"/>
        <w:numPr>
          <w:ilvl w:val="0"/>
          <w:numId w:val="14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Perioada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desfășurare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activității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promoționale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: 12–13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iulie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2025,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între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orele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10:00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17:00. Tombola are loc o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dată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pe zi, 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15:00,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fiecare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zi 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evenimentului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33B92A61" w14:textId="77777777" w:rsidR="00B34522" w:rsidRPr="008B3F64" w:rsidRDefault="00B34522" w:rsidP="008B3F64">
      <w:pPr>
        <w:pStyle w:val="a7"/>
        <w:numPr>
          <w:ilvl w:val="0"/>
          <w:numId w:val="14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Fondul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premii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constă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5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boxe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SVEN PS-290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5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căști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JBL TUNE 510BT.</w:t>
      </w:r>
    </w:p>
    <w:p w14:paraId="619BA586" w14:textId="77777777" w:rsidR="00B34522" w:rsidRPr="008B3F64" w:rsidRDefault="00B34522" w:rsidP="008B3F64">
      <w:pPr>
        <w:pStyle w:val="a7"/>
        <w:numPr>
          <w:ilvl w:val="0"/>
          <w:numId w:val="14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Condiții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tombolă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:</w:t>
      </w:r>
    </w:p>
    <w:p w14:paraId="2B2A012A" w14:textId="77777777" w:rsidR="00B34522" w:rsidRPr="008B3F64" w:rsidRDefault="00B34522" w:rsidP="008B3F64">
      <w:pPr>
        <w:pStyle w:val="a7"/>
        <w:numPr>
          <w:ilvl w:val="0"/>
          <w:numId w:val="15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Vârsta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minimă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: 14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ani</w:t>
      </w:r>
      <w:proofErr w:type="spellEnd"/>
    </w:p>
    <w:p w14:paraId="057B68ED" w14:textId="77777777" w:rsidR="00B34522" w:rsidRPr="008B3F64" w:rsidRDefault="00B34522" w:rsidP="008B3F64">
      <w:pPr>
        <w:pStyle w:val="a7"/>
        <w:numPr>
          <w:ilvl w:val="0"/>
          <w:numId w:val="15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Participantul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nu trebuie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fie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angajat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al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Partenerului</w:t>
      </w:r>
      <w:proofErr w:type="spellEnd"/>
    </w:p>
    <w:p w14:paraId="6A74F635" w14:textId="7D719079" w:rsidR="00B34522" w:rsidRPr="008B3F64" w:rsidRDefault="00B34522" w:rsidP="008B3F64">
      <w:pPr>
        <w:pStyle w:val="a7"/>
        <w:numPr>
          <w:ilvl w:val="0"/>
          <w:numId w:val="14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</w:pPr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Pentru a participa la tombolă:</w:t>
      </w:r>
    </w:p>
    <w:p w14:paraId="24162C3E" w14:textId="77777777" w:rsidR="00B34522" w:rsidRPr="008B3F64" w:rsidRDefault="00B34522" w:rsidP="008B3F64">
      <w:pPr>
        <w:pStyle w:val="a7"/>
        <w:numPr>
          <w:ilvl w:val="0"/>
          <w:numId w:val="16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Vizitează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VARA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VARA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Aquacity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pe 12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sau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13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iulie</w:t>
      </w:r>
      <w:proofErr w:type="spellEnd"/>
    </w:p>
    <w:p w14:paraId="01AC09F7" w14:textId="77777777" w:rsidR="00B34522" w:rsidRPr="008B3F64" w:rsidRDefault="00B34522" w:rsidP="008B3F64">
      <w:pPr>
        <w:pStyle w:val="a7"/>
        <w:numPr>
          <w:ilvl w:val="0"/>
          <w:numId w:val="16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Completează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formularul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cu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datele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contact (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completarea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formularului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implică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acordul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pentru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prelucrarea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datelor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cu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caracter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personal)</w:t>
      </w:r>
    </w:p>
    <w:p w14:paraId="4006E820" w14:textId="77777777" w:rsidR="00B34522" w:rsidRPr="008B3F64" w:rsidRDefault="00B34522" w:rsidP="008B3F64">
      <w:pPr>
        <w:pStyle w:val="a7"/>
        <w:numPr>
          <w:ilvl w:val="0"/>
          <w:numId w:val="14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Câștigătorii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fi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selectați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aleatoriu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dintre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participanții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eligibili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prin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platforma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hyperlink r:id="rId5" w:anchor="numbers" w:history="1">
        <w:r w:rsidRPr="008B3F64">
          <w:rPr>
            <w:rFonts w:ascii="Manrope" w:eastAsia="Manrope" w:hAnsi="Manrope" w:cs="Manrope"/>
            <w:kern w:val="0"/>
            <w:sz w:val="24"/>
            <w:szCs w:val="24"/>
            <w:lang w:val="ru" w:eastAsia="ru-RU"/>
            <w14:ligatures w14:val="none"/>
          </w:rPr>
          <w:t>https://www.random.org/#numbers</w:t>
        </w:r>
      </w:hyperlink>
    </w:p>
    <w:p w14:paraId="6403F196" w14:textId="77777777" w:rsidR="00B34522" w:rsidRPr="008B3F64" w:rsidRDefault="00B34522" w:rsidP="008B3F64">
      <w:pPr>
        <w:pStyle w:val="a7"/>
        <w:numPr>
          <w:ilvl w:val="0"/>
          <w:numId w:val="14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Câștigătorul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trebuie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se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prezinte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zona Letto de pe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teritoriul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Vara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pentru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a-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revendica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premiul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0657EFCC" w14:textId="77777777" w:rsidR="00B34522" w:rsidRPr="008B3F64" w:rsidRDefault="00B34522" w:rsidP="008B3F64">
      <w:pPr>
        <w:pStyle w:val="a7"/>
        <w:numPr>
          <w:ilvl w:val="0"/>
          <w:numId w:val="14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Înmanarea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certificatelor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premii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se face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prezența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câștigătorului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76971296" w14:textId="77777777" w:rsidR="00B34522" w:rsidRPr="008B3F64" w:rsidRDefault="00B34522" w:rsidP="008B3F64">
      <w:pPr>
        <w:pStyle w:val="a7"/>
        <w:numPr>
          <w:ilvl w:val="0"/>
          <w:numId w:val="14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Câștigătorii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semna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un act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predare-primire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premiului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(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boxă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sau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căști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) 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sediul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prezenta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o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copie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identitate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1CB10E83" w14:textId="77777777" w:rsidR="00B34522" w:rsidRPr="008B3F64" w:rsidRDefault="00B34522" w:rsidP="008B3F64">
      <w:pPr>
        <w:pStyle w:val="a7"/>
        <w:numPr>
          <w:ilvl w:val="0"/>
          <w:numId w:val="14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Garanția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premiilor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(SVEN PS-290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sau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JBL TUNE 510BT)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este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asigurată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producător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sau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reprezentantul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oficial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Republica Moldova.</w:t>
      </w:r>
    </w:p>
    <w:p w14:paraId="4F86818B" w14:textId="221953BB" w:rsidR="00B34522" w:rsidRPr="008B3F64" w:rsidRDefault="00B34522" w:rsidP="008B3F64">
      <w:pPr>
        <w:spacing w:before="120" w:after="0"/>
        <w:ind w:left="360"/>
        <w:jc w:val="both"/>
        <w:rPr>
          <w:sz w:val="22"/>
          <w:szCs w:val="18"/>
        </w:rPr>
      </w:pPr>
    </w:p>
    <w:p w14:paraId="7624960C" w14:textId="77777777" w:rsidR="00B34522" w:rsidRPr="00B34522" w:rsidRDefault="00B34522" w:rsidP="00B34522">
      <w:pPr>
        <w:spacing w:after="0"/>
        <w:ind w:firstLine="709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SECȚIUNEA 7. CONFIDENȚIALITATEA DATELOR PERSONALE</w:t>
      </w:r>
    </w:p>
    <w:p w14:paraId="1CCD014E" w14:textId="1AEDA1A4" w:rsidR="00B34522" w:rsidRPr="008B3F64" w:rsidRDefault="00B34522" w:rsidP="008B3F64">
      <w:pPr>
        <w:pStyle w:val="a7"/>
        <w:numPr>
          <w:ilvl w:val="0"/>
          <w:numId w:val="13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</w:pPr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Conform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Legii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RM nr. 133 din 8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iulie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2011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privind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protecția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datelor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cu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caracter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personal,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Organizatorul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colectează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procesează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datele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personale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ale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participanților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, care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își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exprimă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acordul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expres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ca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acestea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fie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folosite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pentru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:</w:t>
      </w:r>
      <w:r w:rsidR="008B3F64"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stabilirea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câștigătorilor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tombolei</w:t>
      </w:r>
      <w:proofErr w:type="spellEnd"/>
      <w:r w:rsidR="008B3F64"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îndeplinirea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obligațiilor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fiscale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aferente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tombolei</w:t>
      </w:r>
      <w:proofErr w:type="spellEnd"/>
      <w:r w:rsidR="008B3F64"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campanii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viitoare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de marketing direct</w:t>
      </w:r>
      <w:r w:rsidR="008B3F64"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Prin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participare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participanții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își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oferă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acordul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ca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numele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localitatea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fotografiile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vocea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lor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fie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utilizate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scopuri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promoționale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foto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, audio, video),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fără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plată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suplimentară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.</w:t>
      </w:r>
      <w:r w:rsidR="008B3F64"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Câștigătorii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vor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semna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o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declarație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scrisă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acest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sens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, conform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cerințelor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Organizatorului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.</w:t>
      </w:r>
    </w:p>
    <w:p w14:paraId="7FB7D7BD" w14:textId="77777777" w:rsidR="00B34522" w:rsidRPr="008B3F64" w:rsidRDefault="00B34522" w:rsidP="008B3F64">
      <w:pPr>
        <w:pStyle w:val="a7"/>
        <w:numPr>
          <w:ilvl w:val="0"/>
          <w:numId w:val="13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Dacă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participanții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nu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solicită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expres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altceva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scris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se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consideră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dau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acordul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pentru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utilizarea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datelor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exclusiv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scopurile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menționate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4ADC6129" w14:textId="77777777" w:rsidR="00B34522" w:rsidRPr="008B3F64" w:rsidRDefault="00B34522" w:rsidP="008B3F64">
      <w:pPr>
        <w:pStyle w:val="a7"/>
        <w:numPr>
          <w:ilvl w:val="0"/>
          <w:numId w:val="13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Organizatorul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se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obligă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nu divulge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datele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personale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altor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terți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cu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excepția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companiilor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implicate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organizarea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evenimentului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03884EEB" w14:textId="77777777" w:rsidR="00B34522" w:rsidRPr="008B3F64" w:rsidRDefault="00B34522" w:rsidP="008B3F64">
      <w:pPr>
        <w:pStyle w:val="a7"/>
        <w:numPr>
          <w:ilvl w:val="0"/>
          <w:numId w:val="13"/>
        </w:numPr>
        <w:spacing w:before="120" w:after="0"/>
        <w:jc w:val="both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ridicarea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premiului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câștigătorul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trebuie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prezinte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o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copie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identitate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anexată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predare-primire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1F484BDD" w14:textId="0CCDD0C0" w:rsidR="00B34522" w:rsidRPr="00B34522" w:rsidRDefault="00B34522" w:rsidP="00B34522">
      <w:pPr>
        <w:spacing w:after="0"/>
        <w:ind w:firstLine="709"/>
        <w:rPr>
          <w:sz w:val="22"/>
          <w:szCs w:val="18"/>
        </w:rPr>
      </w:pPr>
    </w:p>
    <w:p w14:paraId="3393237E" w14:textId="77777777" w:rsidR="00B34522" w:rsidRPr="00B34522" w:rsidRDefault="00B34522" w:rsidP="00B34522">
      <w:pPr>
        <w:spacing w:after="0"/>
        <w:ind w:firstLine="709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SECȚIUNEA 8. ÎNCETAREA ACTIVITĂȚII PROMOȚIONALE ÎN CADRUL EVENIMENTULUI „Vara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Vara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Weekend”</w:t>
      </w:r>
    </w:p>
    <w:p w14:paraId="2EC57A2E" w14:textId="77777777" w:rsidR="00B34522" w:rsidRPr="00B34522" w:rsidRDefault="00B34522" w:rsidP="008B3F64">
      <w:pPr>
        <w:pStyle w:val="a7"/>
        <w:numPr>
          <w:ilvl w:val="0"/>
          <w:numId w:val="10"/>
        </w:numPr>
        <w:tabs>
          <w:tab w:val="num" w:pos="720"/>
        </w:tabs>
        <w:spacing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lastRenderedPageBreak/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caz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forță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majoră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își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rezervă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dreptul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suspenda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activitatea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promoțională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inclusiv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cazurile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care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Organizatorul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nu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poate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continua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Festivalul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din motive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independente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voința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.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acest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caz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Organizatorul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este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obligat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anunțe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public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încetarea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anticipată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gram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</w:t>
      </w:r>
      <w:proofErr w:type="gram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activității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promoționale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68ED15A5" w14:textId="79C34803" w:rsidR="00B34522" w:rsidRPr="008B3F64" w:rsidRDefault="00B34522" w:rsidP="008B3F64">
      <w:pPr>
        <w:spacing w:after="0"/>
        <w:ind w:left="1069"/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</w:pPr>
    </w:p>
    <w:p w14:paraId="6A643A19" w14:textId="77777777" w:rsidR="00B34522" w:rsidRPr="00B34522" w:rsidRDefault="00B34522" w:rsidP="00B34522">
      <w:pPr>
        <w:spacing w:after="0"/>
        <w:ind w:firstLine="709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SECȚIUNEA 9. LITIGII</w:t>
      </w:r>
    </w:p>
    <w:p w14:paraId="2215C526" w14:textId="77777777" w:rsidR="00B34522" w:rsidRPr="008B3F64" w:rsidRDefault="00B34522" w:rsidP="008B3F64">
      <w:pPr>
        <w:pStyle w:val="a7"/>
        <w:numPr>
          <w:ilvl w:val="0"/>
          <w:numId w:val="12"/>
        </w:numPr>
        <w:tabs>
          <w:tab w:val="num" w:pos="720"/>
        </w:tabs>
        <w:spacing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Orice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litigii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între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participanți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vor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fi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soluționate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pe cale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amiabilă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iar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caz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contrar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către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instanțele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competente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conform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legislației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Republicii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Moldova.</w:t>
      </w:r>
    </w:p>
    <w:p w14:paraId="38390425" w14:textId="2875BDA7" w:rsidR="00B34522" w:rsidRPr="00B34522" w:rsidRDefault="00B34522" w:rsidP="00B34522">
      <w:pPr>
        <w:spacing w:after="0"/>
        <w:ind w:firstLine="709"/>
        <w:rPr>
          <w:sz w:val="22"/>
          <w:szCs w:val="18"/>
        </w:rPr>
      </w:pPr>
    </w:p>
    <w:p w14:paraId="7E60C1E6" w14:textId="77777777" w:rsidR="00B34522" w:rsidRPr="00B34522" w:rsidRDefault="00B34522" w:rsidP="00B34522">
      <w:pPr>
        <w:spacing w:after="0"/>
        <w:ind w:firstLine="709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SECȚIUNEA 10. REGULAMENTUL OFICIAL</w:t>
      </w:r>
    </w:p>
    <w:p w14:paraId="60FB992D" w14:textId="77777777" w:rsidR="00B34522" w:rsidRPr="008B3F64" w:rsidRDefault="00B34522" w:rsidP="008B3F64">
      <w:pPr>
        <w:pStyle w:val="a7"/>
        <w:numPr>
          <w:ilvl w:val="0"/>
          <w:numId w:val="11"/>
        </w:numPr>
        <w:spacing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Prin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participarea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activitatea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promoțională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participanții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sunt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acord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respecte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toate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prevederile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prezentului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Regulament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Oficial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2F3040AB" w14:textId="77777777" w:rsidR="00B34522" w:rsidRPr="008B3F64" w:rsidRDefault="00B34522" w:rsidP="008B3F64">
      <w:pPr>
        <w:pStyle w:val="a7"/>
        <w:numPr>
          <w:ilvl w:val="0"/>
          <w:numId w:val="11"/>
        </w:numPr>
        <w:spacing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Pentru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permite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accesul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regulament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acesta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este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publicat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pe site-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varavara.md. De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asemenea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orice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persoană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interesată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poate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solicita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sediul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.</w:t>
      </w:r>
    </w:p>
    <w:p w14:paraId="692DBA7C" w14:textId="77777777" w:rsidR="00B34522" w:rsidRPr="008B3F64" w:rsidRDefault="00B34522" w:rsidP="008B3F64">
      <w:pPr>
        <w:pStyle w:val="a7"/>
        <w:numPr>
          <w:ilvl w:val="0"/>
          <w:numId w:val="11"/>
        </w:numPr>
        <w:spacing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rezervă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dreptul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modifica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sau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completa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regulamentul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în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orice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moment.</w:t>
      </w:r>
    </w:p>
    <w:p w14:paraId="1A580323" w14:textId="2375F925" w:rsidR="00B34522" w:rsidRPr="00B34522" w:rsidRDefault="00B34522" w:rsidP="00B34522">
      <w:pPr>
        <w:spacing w:after="0"/>
        <w:ind w:firstLine="709"/>
        <w:rPr>
          <w:sz w:val="22"/>
          <w:szCs w:val="18"/>
        </w:rPr>
      </w:pPr>
    </w:p>
    <w:p w14:paraId="3D7D1242" w14:textId="77777777" w:rsidR="00B34522" w:rsidRPr="00B34522" w:rsidRDefault="00B34522" w:rsidP="00B34522">
      <w:pPr>
        <w:spacing w:after="0"/>
        <w:ind w:firstLine="709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r w:rsidRPr="00B34522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SECȚIUNEA 11. TAXE ȘI IMPOZITE</w:t>
      </w:r>
    </w:p>
    <w:p w14:paraId="02323ED4" w14:textId="77777777" w:rsidR="00B34522" w:rsidRPr="008B3F64" w:rsidRDefault="00B34522" w:rsidP="008B3F64">
      <w:pPr>
        <w:pStyle w:val="a7"/>
        <w:numPr>
          <w:ilvl w:val="0"/>
          <w:numId w:val="10"/>
        </w:numPr>
        <w:tabs>
          <w:tab w:val="num" w:pos="720"/>
        </w:tabs>
        <w:spacing w:after="0"/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</w:pP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Partenerul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Festivalului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nu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este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responsabil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pentru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plata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taxelor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sau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impozitelor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aferente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premiilor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cu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excepția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impozitului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reținut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sursă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care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este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calculat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,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reținut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și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transferat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la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bugetul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de stat conform </w:t>
      </w:r>
      <w:proofErr w:type="spellStart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>Codului</w:t>
      </w:r>
      <w:proofErr w:type="spellEnd"/>
      <w:r w:rsidRPr="008B3F64">
        <w:rPr>
          <w:rFonts w:ascii="Manrope" w:eastAsia="Manrope" w:hAnsi="Manrope" w:cs="Manrope"/>
          <w:kern w:val="0"/>
          <w:sz w:val="24"/>
          <w:szCs w:val="24"/>
          <w:lang w:val="ru" w:eastAsia="ru-RU"/>
          <w14:ligatures w14:val="none"/>
        </w:rPr>
        <w:t xml:space="preserve"> Fiscal al RM.</w:t>
      </w:r>
    </w:p>
    <w:p w14:paraId="5CA0FE1E" w14:textId="7A1D68DB" w:rsidR="00B34522" w:rsidRPr="00B34522" w:rsidRDefault="00B34522" w:rsidP="00B34522">
      <w:pPr>
        <w:spacing w:after="0"/>
        <w:ind w:firstLine="709"/>
        <w:rPr>
          <w:sz w:val="22"/>
          <w:szCs w:val="18"/>
        </w:rPr>
      </w:pPr>
    </w:p>
    <w:p w14:paraId="27419A19" w14:textId="340F923E" w:rsidR="00B34522" w:rsidRPr="00B34522" w:rsidRDefault="00B34522" w:rsidP="008B3F64">
      <w:pPr>
        <w:tabs>
          <w:tab w:val="num" w:pos="720"/>
        </w:tabs>
        <w:spacing w:after="0"/>
        <w:ind w:firstLine="709"/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Aprobat</w:t>
      </w:r>
      <w:proofErr w:type="spellEnd"/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:</w:t>
      </w:r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br/>
        <w:t>Director Marketing – Serghei Bobro</w:t>
      </w:r>
      <w:r w:rsidR="008B3F64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v</w:t>
      </w:r>
      <w:r w:rsidRPr="00B34522">
        <w:rPr>
          <w:rFonts w:ascii="Manrope" w:eastAsia="Manrope" w:hAnsi="Manrope" w:cs="Manrope"/>
          <w:kern w:val="0"/>
          <w:sz w:val="24"/>
          <w:szCs w:val="24"/>
          <w:lang w:val="en-US" w:eastAsia="ru-RU"/>
          <w14:ligatures w14:val="none"/>
        </w:rPr>
        <w:t>____________ 07.07.2025</w:t>
      </w:r>
    </w:p>
    <w:p w14:paraId="1AC1695B" w14:textId="546A1BDB" w:rsidR="00B34522" w:rsidRPr="00B34522" w:rsidRDefault="00B34522" w:rsidP="00B34522">
      <w:pPr>
        <w:spacing w:after="0"/>
        <w:ind w:firstLine="709"/>
        <w:rPr>
          <w:sz w:val="22"/>
          <w:szCs w:val="18"/>
        </w:rPr>
      </w:pPr>
    </w:p>
    <w:p w14:paraId="040D3F3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2A8"/>
    <w:multiLevelType w:val="multilevel"/>
    <w:tmpl w:val="E610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E08A3"/>
    <w:multiLevelType w:val="multilevel"/>
    <w:tmpl w:val="070E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27BE4"/>
    <w:multiLevelType w:val="hybridMultilevel"/>
    <w:tmpl w:val="6B6C7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3A16"/>
    <w:multiLevelType w:val="hybridMultilevel"/>
    <w:tmpl w:val="2842D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35AEA"/>
    <w:multiLevelType w:val="hybridMultilevel"/>
    <w:tmpl w:val="2BA4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C630A"/>
    <w:multiLevelType w:val="multilevel"/>
    <w:tmpl w:val="90E8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80F8B"/>
    <w:multiLevelType w:val="hybridMultilevel"/>
    <w:tmpl w:val="E4D6A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D580F"/>
    <w:multiLevelType w:val="hybridMultilevel"/>
    <w:tmpl w:val="03D69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25B45"/>
    <w:multiLevelType w:val="hybridMultilevel"/>
    <w:tmpl w:val="76668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4693"/>
    <w:multiLevelType w:val="multilevel"/>
    <w:tmpl w:val="6F62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862FC6"/>
    <w:multiLevelType w:val="multilevel"/>
    <w:tmpl w:val="F41C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37B2A"/>
    <w:multiLevelType w:val="hybridMultilevel"/>
    <w:tmpl w:val="AD784B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EA2DE5"/>
    <w:multiLevelType w:val="hybridMultilevel"/>
    <w:tmpl w:val="BF7EE0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0D1504"/>
    <w:multiLevelType w:val="multilevel"/>
    <w:tmpl w:val="E28C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A3DF2"/>
    <w:multiLevelType w:val="hybridMultilevel"/>
    <w:tmpl w:val="53348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525B88"/>
    <w:multiLevelType w:val="hybridMultilevel"/>
    <w:tmpl w:val="51048B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0716602">
    <w:abstractNumId w:val="13"/>
  </w:num>
  <w:num w:numId="2" w16cid:durableId="1623077755">
    <w:abstractNumId w:val="1"/>
  </w:num>
  <w:num w:numId="3" w16cid:durableId="1465586685">
    <w:abstractNumId w:val="5"/>
  </w:num>
  <w:num w:numId="4" w16cid:durableId="1818034751">
    <w:abstractNumId w:val="0"/>
  </w:num>
  <w:num w:numId="5" w16cid:durableId="442918213">
    <w:abstractNumId w:val="9"/>
  </w:num>
  <w:num w:numId="6" w16cid:durableId="418260493">
    <w:abstractNumId w:val="10"/>
  </w:num>
  <w:num w:numId="7" w16cid:durableId="19286832">
    <w:abstractNumId w:val="8"/>
  </w:num>
  <w:num w:numId="8" w16cid:durableId="1613702324">
    <w:abstractNumId w:val="6"/>
  </w:num>
  <w:num w:numId="9" w16cid:durableId="1142111623">
    <w:abstractNumId w:val="3"/>
  </w:num>
  <w:num w:numId="10" w16cid:durableId="1492791612">
    <w:abstractNumId w:val="14"/>
  </w:num>
  <w:num w:numId="11" w16cid:durableId="64842300">
    <w:abstractNumId w:val="11"/>
  </w:num>
  <w:num w:numId="12" w16cid:durableId="1007442765">
    <w:abstractNumId w:val="12"/>
  </w:num>
  <w:num w:numId="13" w16cid:durableId="1809544693">
    <w:abstractNumId w:val="15"/>
  </w:num>
  <w:num w:numId="14" w16cid:durableId="711657636">
    <w:abstractNumId w:val="4"/>
  </w:num>
  <w:num w:numId="15" w16cid:durableId="1437411517">
    <w:abstractNumId w:val="2"/>
  </w:num>
  <w:num w:numId="16" w16cid:durableId="661928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22"/>
    <w:rsid w:val="006C0B77"/>
    <w:rsid w:val="007451FC"/>
    <w:rsid w:val="008242FF"/>
    <w:rsid w:val="00870751"/>
    <w:rsid w:val="008B3F64"/>
    <w:rsid w:val="009043DA"/>
    <w:rsid w:val="00922C48"/>
    <w:rsid w:val="00AF2F17"/>
    <w:rsid w:val="00B34522"/>
    <w:rsid w:val="00B915B7"/>
    <w:rsid w:val="00D75E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093E"/>
  <w15:chartTrackingRefBased/>
  <w15:docId w15:val="{D4CFD1CF-BEB3-432A-89FF-478C3BAA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4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4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452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452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45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45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45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45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4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45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45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45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4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452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45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45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4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ndo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serscov</dc:creator>
  <cp:keywords/>
  <dc:description/>
  <cp:lastModifiedBy>liliana serscov</cp:lastModifiedBy>
  <cp:revision>1</cp:revision>
  <dcterms:created xsi:type="dcterms:W3CDTF">2025-07-11T11:57:00Z</dcterms:created>
  <dcterms:modified xsi:type="dcterms:W3CDTF">2025-07-11T12:19:00Z</dcterms:modified>
</cp:coreProperties>
</file>